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 xml:space="preserve">Протокол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proofErr w:type="gramStart"/>
      <w:r w:rsidR="00B52AA8">
        <w:rPr>
          <w:b/>
        </w:rPr>
        <w:t>июл</w:t>
      </w:r>
      <w:r w:rsidR="0012418A">
        <w:rPr>
          <w:b/>
        </w:rPr>
        <w:t>ь</w:t>
      </w:r>
      <w:proofErr w:type="gramEnd"/>
      <w:r w:rsidR="006556AF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B52AA8">
        <w:rPr>
          <w:b/>
        </w:rPr>
        <w:t>09 июл</w:t>
      </w:r>
      <w:r w:rsidR="0012418A">
        <w:rPr>
          <w:b/>
        </w:rPr>
        <w:t>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B52AA8">
        <w:rPr>
          <w:b/>
        </w:rPr>
        <w:t>15</w:t>
      </w:r>
      <w:r w:rsidR="00787DCB">
        <w:rPr>
          <w:b/>
        </w:rPr>
        <w:t xml:space="preserve"> июл</w:t>
      </w:r>
      <w:r w:rsidR="0012418A">
        <w:rPr>
          <w:b/>
        </w:rPr>
        <w:t>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1B7D90" w:rsidRPr="00582352" w:rsidRDefault="001B7D90" w:rsidP="00273A95">
      <w:pPr>
        <w:ind w:firstLine="540"/>
        <w:jc w:val="both"/>
      </w:pPr>
      <w:r w:rsidRPr="00582352">
        <w:t xml:space="preserve">Размещение средств Гарантийного фонда во вклады (депозиты) в сумме </w:t>
      </w:r>
      <w:r w:rsidR="006556AF" w:rsidRPr="00582352">
        <w:t xml:space="preserve">                          </w:t>
      </w:r>
      <w:r w:rsidR="00B52AA8">
        <w:t xml:space="preserve">76 235 270 </w:t>
      </w:r>
      <w:r w:rsidRPr="00582352">
        <w:t xml:space="preserve">руб. </w:t>
      </w:r>
      <w:r w:rsidR="00B52AA8">
        <w:t>28 коп.</w:t>
      </w:r>
    </w:p>
    <w:p w:rsidR="00273A95" w:rsidRPr="00B52AA8" w:rsidRDefault="00273A95" w:rsidP="00273A95">
      <w:pPr>
        <w:widowControl w:val="0"/>
        <w:ind w:firstLine="540"/>
        <w:jc w:val="both"/>
      </w:pPr>
      <w:r w:rsidRPr="00B52AA8">
        <w:t xml:space="preserve">Денежные средства размещаются на срок депозита </w:t>
      </w:r>
      <w:r w:rsidR="0012418A" w:rsidRPr="00B52AA8">
        <w:t>18</w:t>
      </w:r>
      <w:r w:rsidR="003D1926" w:rsidRPr="00B52AA8">
        <w:t>1 календарный день</w:t>
      </w:r>
      <w:r w:rsidR="00413EF2" w:rsidRPr="00B52AA8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AA8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B52AA8">
        <w:rPr>
          <w:rFonts w:ascii="Times New Roman" w:hAnsi="Times New Roman" w:cs="Times New Roman"/>
          <w:sz w:val="24"/>
          <w:szCs w:val="24"/>
        </w:rPr>
        <w:t>17</w:t>
      </w:r>
      <w:r w:rsidR="00373E87" w:rsidRPr="00B52AA8">
        <w:rPr>
          <w:rFonts w:ascii="Times New Roman" w:hAnsi="Times New Roman" w:cs="Times New Roman"/>
          <w:sz w:val="24"/>
          <w:szCs w:val="24"/>
        </w:rPr>
        <w:t xml:space="preserve"> </w:t>
      </w:r>
      <w:r w:rsidR="00787DCB" w:rsidRPr="00B52AA8">
        <w:rPr>
          <w:rFonts w:ascii="Times New Roman" w:hAnsi="Times New Roman" w:cs="Times New Roman"/>
          <w:sz w:val="24"/>
          <w:szCs w:val="24"/>
        </w:rPr>
        <w:t>июл</w:t>
      </w:r>
      <w:r w:rsidR="0012418A" w:rsidRPr="00B52AA8">
        <w:rPr>
          <w:rFonts w:ascii="Times New Roman" w:hAnsi="Times New Roman" w:cs="Times New Roman"/>
          <w:sz w:val="24"/>
          <w:szCs w:val="24"/>
        </w:rPr>
        <w:t>я</w:t>
      </w:r>
      <w:r w:rsidR="00112BC0" w:rsidRPr="00B52AA8">
        <w:rPr>
          <w:rFonts w:ascii="Times New Roman" w:hAnsi="Times New Roman" w:cs="Times New Roman"/>
          <w:sz w:val="24"/>
          <w:szCs w:val="24"/>
        </w:rPr>
        <w:t xml:space="preserve"> </w:t>
      </w:r>
      <w:r w:rsidRPr="00B52AA8">
        <w:rPr>
          <w:rFonts w:ascii="Times New Roman" w:hAnsi="Times New Roman" w:cs="Times New Roman"/>
          <w:sz w:val="24"/>
          <w:szCs w:val="24"/>
        </w:rPr>
        <w:t>202</w:t>
      </w:r>
      <w:r w:rsidR="00373E87" w:rsidRPr="00B52AA8">
        <w:rPr>
          <w:rFonts w:ascii="Times New Roman" w:hAnsi="Times New Roman" w:cs="Times New Roman"/>
          <w:sz w:val="24"/>
          <w:szCs w:val="24"/>
        </w:rPr>
        <w:t>4</w:t>
      </w:r>
      <w:r w:rsidRPr="00B52A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www.мойбизнес.рф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3D1926">
        <w:rPr>
          <w:rFonts w:ascii="Times New Roman" w:hAnsi="Times New Roman" w:cs="Times New Roman"/>
          <w:sz w:val="24"/>
          <w:szCs w:val="24"/>
        </w:rPr>
        <w:t>1</w:t>
      </w:r>
      <w:r w:rsidR="00473620">
        <w:rPr>
          <w:rFonts w:ascii="Times New Roman" w:hAnsi="Times New Roman" w:cs="Times New Roman"/>
          <w:sz w:val="24"/>
          <w:szCs w:val="24"/>
        </w:rPr>
        <w:t>8</w:t>
      </w:r>
      <w:r w:rsidR="003D1926">
        <w:rPr>
          <w:rFonts w:ascii="Times New Roman" w:hAnsi="Times New Roman" w:cs="Times New Roman"/>
          <w:sz w:val="24"/>
          <w:szCs w:val="24"/>
        </w:rPr>
        <w:t>1 календарный день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211228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211228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B52AA8">
      <w:rPr>
        <w:rStyle w:val="a6"/>
        <w:noProof/>
        <w:sz w:val="20"/>
        <w:szCs w:val="20"/>
      </w:rPr>
      <w:t>2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2013</Words>
  <Characters>14453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16434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29</cp:revision>
  <cp:lastPrinted>2024-05-17T07:21:00Z</cp:lastPrinted>
  <dcterms:created xsi:type="dcterms:W3CDTF">2023-04-14T08:47:00Z</dcterms:created>
  <dcterms:modified xsi:type="dcterms:W3CDTF">2024-07-03T10:39:00Z</dcterms:modified>
</cp:coreProperties>
</file>